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F238C" w14:textId="60DA78DA" w:rsidR="008132E9" w:rsidRDefault="008132E9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77777777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0E68A5">
        <w:rPr>
          <w:rFonts w:ascii="Corbel" w:hAnsi="Corbel" w:cs="Corbel"/>
          <w:i/>
          <w:iCs/>
          <w:smallCaps/>
        </w:rPr>
        <w:t>2020-</w:t>
      </w:r>
      <w:r w:rsidRPr="000D3AB4">
        <w:rPr>
          <w:rFonts w:ascii="Corbel" w:hAnsi="Corbel" w:cs="Corbel"/>
          <w:i/>
          <w:iCs/>
          <w:smallCaps/>
        </w:rPr>
        <w:t xml:space="preserve">2023 </w:t>
      </w:r>
    </w:p>
    <w:p w14:paraId="22DA2FA7" w14:textId="14A3CEB1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B266A2">
        <w:rPr>
          <w:rFonts w:ascii="Corbel" w:hAnsi="Corbel" w:cs="Corbel"/>
          <w:sz w:val="20"/>
          <w:szCs w:val="20"/>
        </w:rPr>
        <w:t>1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B266A2">
        <w:rPr>
          <w:rFonts w:ascii="Corbel" w:hAnsi="Corbel" w:cs="Corbel"/>
          <w:sz w:val="20"/>
          <w:szCs w:val="20"/>
        </w:rPr>
        <w:t>2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D735DB">
              <w:rPr>
                <w:rFonts w:ascii="Corbel" w:hAnsi="Corbel" w:cs="Corbel"/>
                <w:sz w:val="21"/>
                <w:szCs w:val="21"/>
              </w:rPr>
              <w:t>FiR/I/FiB.C.1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0E1D6BA3" w:rsidR="002364EF" w:rsidRPr="0083242D" w:rsidRDefault="008E13B0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415B9" w14:textId="77777777" w:rsidR="002364EF" w:rsidRPr="002E38BC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  <w:r>
              <w:rPr>
                <w:rFonts w:ascii="Corbel" w:hAnsi="Corbel" w:cs="Corbel"/>
              </w:rPr>
              <w:t>, 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2D04EC34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01" w:type="dxa"/>
            <w:vAlign w:val="center"/>
          </w:tcPr>
          <w:p w14:paraId="6704A156" w14:textId="66D73A57" w:rsidR="002364EF" w:rsidRPr="002E38BC" w:rsidRDefault="00B8402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 finance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Procedura kredytowa w banku. Ryzyko kredytowe (metody oceny zdolności kredytowej, credit scoring,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36BE781" w14:textId="6CE86984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14:paraId="46285B33" w14:textId="3720C66D" w:rsidR="002364EF" w:rsidRPr="002068F8" w:rsidRDefault="00B840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55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Harasim J., Bankowość detaliczna w Polsce, CeDeWu,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Difin,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Wiatr M. S., Bankowość korporacyjna, wydanie II, Difin,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Szelągowska A. (red.), Współczesna bankowość korporacyjna, CeDeWu,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Szelągowska A. (red.), Współczesna bankowość detaliczna, CeDeWu,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228E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A04C9"/>
    <w:rsid w:val="004B228E"/>
    <w:rsid w:val="005C1650"/>
    <w:rsid w:val="006C1B55"/>
    <w:rsid w:val="007942B7"/>
    <w:rsid w:val="008132E9"/>
    <w:rsid w:val="0083242D"/>
    <w:rsid w:val="008E13B0"/>
    <w:rsid w:val="009B146A"/>
    <w:rsid w:val="009C54AE"/>
    <w:rsid w:val="00B21EB8"/>
    <w:rsid w:val="00B266A2"/>
    <w:rsid w:val="00B84020"/>
    <w:rsid w:val="00CB71BB"/>
    <w:rsid w:val="00CF48E1"/>
    <w:rsid w:val="00D735DB"/>
    <w:rsid w:val="00D7699A"/>
    <w:rsid w:val="00EA4832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1060</Words>
  <Characters>6362</Characters>
  <Application>Microsoft Office Word</Application>
  <DocSecurity>0</DocSecurity>
  <Lines>53</Lines>
  <Paragraphs>14</Paragraphs>
  <ScaleCrop>false</ScaleCrop>
  <Company>Właściciel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Ewelina Rabiej</cp:lastModifiedBy>
  <cp:revision>16</cp:revision>
  <dcterms:created xsi:type="dcterms:W3CDTF">2021-01-26T19:57:00Z</dcterms:created>
  <dcterms:modified xsi:type="dcterms:W3CDTF">2021-11-03T04:43:00Z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